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779" w:tblpY="752"/>
        <w:tblOverlap w:val="never"/>
        <w:tblW w:w="153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237"/>
        <w:gridCol w:w="1607"/>
        <w:gridCol w:w="1075"/>
        <w:gridCol w:w="1076"/>
        <w:gridCol w:w="1075"/>
        <w:gridCol w:w="1076"/>
        <w:gridCol w:w="1075"/>
        <w:gridCol w:w="1076"/>
        <w:gridCol w:w="1291"/>
        <w:gridCol w:w="1077"/>
        <w:gridCol w:w="1076"/>
        <w:gridCol w:w="1082"/>
      </w:tblGrid>
      <w:tr>
        <w:trPr>
          <w:trHeight w:val="1244" w:hRule="atLeast"/>
        </w:trPr>
        <w:tc>
          <w:tcPr>
            <w:tcW w:w="15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定西市和源市政工程有限公司、甘肃朴信建筑安装工程有限公司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农民工工资保证保险、建筑工程团体人身意外伤害保险及团体人身意外伤害险报价单</w:t>
            </w:r>
          </w:p>
        </w:tc>
      </w:tr>
      <w:tr>
        <w:trPr>
          <w:trHeight w:val="375" w:hRule="atLeas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6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合同价（元）</w:t>
            </w:r>
          </w:p>
        </w:tc>
        <w:tc>
          <w:tcPr>
            <w:tcW w:w="21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农民工工资保证保险</w:t>
            </w:r>
          </w:p>
        </w:tc>
        <w:tc>
          <w:tcPr>
            <w:tcW w:w="43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建筑工程团体人身意外伤害保险</w:t>
            </w:r>
          </w:p>
        </w:tc>
        <w:tc>
          <w:tcPr>
            <w:tcW w:w="2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团体人身意外伤害险</w:t>
            </w:r>
          </w:p>
        </w:tc>
        <w:tc>
          <w:tcPr>
            <w:tcW w:w="21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保费合计</w:t>
            </w:r>
          </w:p>
        </w:tc>
      </w:tr>
      <w:tr>
        <w:trPr>
          <w:trHeight w:val="375" w:hRule="atLeast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方案一</w:t>
            </w:r>
          </w:p>
        </w:tc>
        <w:tc>
          <w:tcPr>
            <w:tcW w:w="2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方案二</w:t>
            </w:r>
          </w:p>
        </w:tc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033" w:hRule="atLeast"/>
        </w:trPr>
        <w:tc>
          <w:tcPr>
            <w:tcW w:w="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保额费率X%/年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总保险费（元）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保额费率X%/年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总保险费（元）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保额费率X%/年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总保险费（元）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每人总保险费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总保险费（元）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保额50万/人（元）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保额80万/人（元）</w:t>
            </w:r>
          </w:p>
        </w:tc>
      </w:tr>
      <w:tr>
        <w:trPr>
          <w:trHeight w:val="1244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定西市新市区污水厂污泥集中处置及沼气综合项目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（合同工期467天）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78680000.00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死亡伤残保额50万/人，医疗保额5万/人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死亡伤残保额80万/人，医疗保额8万/人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此保险在项目报价时不报价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979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定西市城镇污水管网改造工程（合同工期730天）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129280000.00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244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漳县异地农民安置保障性住房建设项目B区室外附属（合同工期731天）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128858958.83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1244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引洮供水一期定西市陇通安定农村供水提质增效工程（合同工期730天）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123380000.00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936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渭河印象养老服务中心项目（合同工期365天）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9000000.00 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rPr>
          <w:trHeight w:val="730" w:hRule="atLeast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公司临时用工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64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此保险在公司临时用工报价时不报价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rPr>
          <w:trHeight w:val="465" w:hRule="atLeast"/>
        </w:trPr>
        <w:tc>
          <w:tcPr>
            <w:tcW w:w="153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说明：项目服务费采用包干制，应包括服务成本、法定税费和合理利润。报价由响应供应商根据询价公告自行测算。</w:t>
            </w:r>
          </w:p>
        </w:tc>
      </w:tr>
    </w:tbl>
    <w:p>
      <w:pPr>
        <w:rPr>
          <w:sz w:val="16"/>
          <w:szCs w:val="20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BA078"/>
    <w:rsid w:val="4DEBA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Office_5.3.0.7872_F1E327BC-269C-435d-A152-05C5408002CA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2023-04-07T18:06:00Z</dcterms:created>
  <dc:creator>魏志轩</dc:creator>
  <cp:lastModifiedBy>魏志轩</cp:lastModifiedBy>
  <dcterms:modified xsi:type="dcterms:W3CDTF">2023-04-07T18:09:05Z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2052-5.3.0.7872</vt:lpwstr>
  </property>
  <property fmtid="{D5CDD505-2E9C-101B-9397-08002B2CF9AE}" pid="3" name="ICV">
    <vt:lpwstr>D71ADE7A2CB9111E0FEB2F645962D43E_41</vt:lpwstr>
  </property>
</Properties>
</file>